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578" w:lineRule="exact"/>
        <w:ind w:right="-87"/>
        <w:rPr>
          <w:rStyle w:val="14"/>
          <w:rFonts w:ascii="方正小标宋简体" w:eastAsia="方正小标宋简体"/>
          <w:b w:val="0"/>
          <w:bCs w:val="0"/>
          <w:color w:val="3D3D3D"/>
          <w:sz w:val="44"/>
          <w:szCs w:val="44"/>
        </w:rPr>
      </w:pPr>
    </w:p>
    <w:p>
      <w:pPr>
        <w:tabs>
          <w:tab w:val="left" w:pos="7513"/>
        </w:tabs>
        <w:spacing w:line="600" w:lineRule="exact"/>
        <w:ind w:right="-87"/>
        <w:jc w:val="center"/>
        <w:rPr>
          <w:rStyle w:val="14"/>
          <w:rFonts w:ascii="方正小标宋简体" w:eastAsia="方正小标宋简体"/>
          <w:b w:val="0"/>
          <w:bCs w:val="0"/>
          <w:color w:val="3D3D3D"/>
          <w:sz w:val="44"/>
          <w:szCs w:val="44"/>
        </w:rPr>
      </w:pPr>
      <w:bookmarkStart w:id="0" w:name="_GoBack"/>
      <w:r>
        <w:rPr>
          <w:rStyle w:val="14"/>
          <w:rFonts w:hint="eastAsia" w:ascii="方正小标宋简体" w:eastAsia="方正小标宋简体"/>
          <w:b w:val="0"/>
          <w:bCs w:val="0"/>
          <w:color w:val="3D3D3D"/>
          <w:sz w:val="44"/>
          <w:szCs w:val="44"/>
        </w:rPr>
        <w:t>北京市数字技术技能人才培养实施方案</w:t>
      </w:r>
    </w:p>
    <w:bookmarkEnd w:id="0"/>
    <w:p>
      <w:pPr>
        <w:tabs>
          <w:tab w:val="left" w:pos="7513"/>
        </w:tabs>
        <w:spacing w:line="600" w:lineRule="exact"/>
        <w:ind w:right="-87"/>
        <w:jc w:val="center"/>
        <w:rPr>
          <w:rFonts w:ascii="方正小标宋简体" w:eastAsia="方正小标宋简体"/>
          <w:b/>
          <w:color w:val="3D3D3D"/>
          <w:sz w:val="36"/>
          <w:szCs w:val="36"/>
        </w:rPr>
      </w:pPr>
    </w:p>
    <w:p>
      <w:pPr>
        <w:pStyle w:val="9"/>
        <w:widowControl w:val="0"/>
        <w:shd w:val="clear" w:color="auto" w:fill="FFFFFF"/>
        <w:spacing w:before="0" w:beforeAutospacing="0" w:after="0" w:afterAutospacing="0" w:line="600" w:lineRule="exact"/>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为贯彻落实党的二十大和北京市第十三次党代会精神，</w:t>
      </w:r>
      <w:r>
        <w:rPr>
          <w:rFonts w:hint="eastAsia" w:ascii="仿宋_GB2312" w:hAnsi="仿宋" w:eastAsia="仿宋_GB2312" w:cs="仿宋"/>
          <w:sz w:val="32"/>
          <w:szCs w:val="32"/>
        </w:rPr>
        <w:t>深入实施新时代人才强国战略</w:t>
      </w:r>
      <w:r>
        <w:rPr>
          <w:rFonts w:ascii="仿宋_GB2312" w:hAnsi="仿宋" w:eastAsia="仿宋_GB2312" w:cs="仿宋"/>
          <w:sz w:val="32"/>
          <w:szCs w:val="32"/>
        </w:rPr>
        <w:t>,</w:t>
      </w:r>
      <w:r>
        <w:rPr>
          <w:rFonts w:hint="eastAsia" w:ascii="仿宋_GB2312" w:hAnsi="仿宋" w:eastAsia="仿宋_GB2312" w:cstheme="minorBidi"/>
          <w:kern w:val="2"/>
          <w:sz w:val="32"/>
          <w:szCs w:val="32"/>
        </w:rPr>
        <w:t>促进数字经济和实体经济深度融合，不断强化科技人才支撑作用，根据《北京市数字经济促进条例》《北京市提升全民数字素养与技能行动实施方案》《专业技术人才知识更新工程数字技术工程师培育项目实施办法》（人社厅发〔2021〕71号）、《关于稳步推进数字技术工程师培育项目实施工作的函》（人社专技司函〔2022〕47号）和《北京市专业技术人才知识更新工程实施方案》等规定，结合北京市实际情况，制定本实施方案。</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一、总体思路和目标</w:t>
      </w:r>
    </w:p>
    <w:p>
      <w:pPr>
        <w:shd w:val="clear" w:color="auto" w:fill="FFFFFF"/>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立足于当前数字经济领域的人才需求和推动数字经济产业长远发展，着力培养数字技术领军人才、高水平数字技术人才和数字技能人才，不断优化数字技术技能人才培养结构，加大人才储备，建设一支为北京高质量发展贡献重要力量的数字技术技能人才队伍。</w:t>
      </w:r>
    </w:p>
    <w:p>
      <w:pPr>
        <w:pStyle w:val="9"/>
        <w:widowControl w:val="0"/>
        <w:shd w:val="clear" w:color="auto" w:fill="FFFFFF"/>
        <w:spacing w:before="0" w:beforeAutospacing="0" w:after="0" w:afterAutospacing="0" w:line="600" w:lineRule="exact"/>
        <w:ind w:firstLine="630"/>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数字技术技能人才培养以产业数字化与数字产业化为核心，大力实施首都专业技术人才“登攀”计划，围绕人工智能、物联网、大数据、云计算、数字化管理、智能制造、工业互联网、虚拟现实、区块链、集成电路等数字技术技能领域，培养一定数量的数字技术领军人才，每年培养具有良好科学素养、精于实操应用、能够解决复杂问题的工程技术技能人才1万人，不断推进专业技术人员数字素养和技能提升，为加快发展数字经济提供强有力的人才支撑。</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二、加大数字技术技能人才培养力度</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发挥数字技术领域专业技术人员继续教育基地作用，支持在京互联网头部企业、行业组织参与，鼓励建立产学研一体化人才“订单式”培养模式。</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（一）培养数字技术领军人才。</w:t>
      </w:r>
      <w:r>
        <w:rPr>
          <w:rFonts w:hint="eastAsia" w:ascii="仿宋_GB2312" w:hAnsi="仿宋" w:eastAsia="仿宋_GB2312" w:cstheme="minorBidi"/>
          <w:kern w:val="2"/>
          <w:sz w:val="32"/>
          <w:szCs w:val="32"/>
        </w:rPr>
        <w:t>鼓励各单位设立首席数据官，优先聘请取得专业技术等级证书的数字技术人员担任。聚焦数字技术领域科技前沿，举办高级研修项目，不断提升首席数据官和企业管理人员数字能力素质。</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（二）打造企业数字化竞争力。</w:t>
      </w:r>
      <w:r>
        <w:rPr>
          <w:rFonts w:hint="eastAsia" w:ascii="仿宋_GB2312" w:hAnsi="仿宋" w:eastAsia="仿宋_GB2312" w:cstheme="minorBidi"/>
          <w:kern w:val="2"/>
          <w:sz w:val="32"/>
          <w:szCs w:val="32"/>
        </w:rPr>
        <w:t>发挥行业龙头企业在新一轮科技革命和产业变革中的引领和示范作用，培育造就一大批高水平、创新型、复合型的数字化人才队伍。支持数字技术技能人才培训机构与重点企业共建师资培训基地，开设数字经济技术技能人才“订单班”“冠名班”。</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（三）提升产业工人数字技能。</w:t>
      </w:r>
      <w:r>
        <w:rPr>
          <w:rFonts w:hint="eastAsia" w:ascii="仿宋_GB2312" w:hAnsi="仿宋" w:eastAsia="仿宋_GB2312" w:cstheme="minorBidi"/>
          <w:kern w:val="2"/>
          <w:sz w:val="32"/>
          <w:szCs w:val="32"/>
        </w:rPr>
        <w:t>完善企业员工职业技能培训体系，持续壮大具备数字技能的现代化产业工人队伍，提升数字化生产能力。探索举办数字技术技能竞赛、数字技术创新大赛、数字技术人才论坛等活动，对符合条件的职业技能竞赛获奖选手核发职业技能等级证书，充分发挥以赛促学、以会促育的人才培养作用。</w:t>
      </w:r>
    </w:p>
    <w:p>
      <w:pPr>
        <w:pStyle w:val="9"/>
        <w:widowControl w:val="0"/>
        <w:shd w:val="clear" w:color="auto" w:fill="FFFFFF"/>
        <w:spacing w:before="0" w:beforeAutospacing="0" w:after="0" w:afterAutospacing="0" w:line="600" w:lineRule="exact"/>
        <w:ind w:firstLine="640" w:firstLineChars="200"/>
        <w:jc w:val="both"/>
        <w:rPr>
          <w:rFonts w:ascii="方正楷体_GBK" w:hAnsi="方正楷体_GBK" w:eastAsia="方正楷体_GBK" w:cs="方正楷体_GBK"/>
          <w:kern w:val="2"/>
          <w:sz w:val="32"/>
          <w:szCs w:val="32"/>
        </w:rPr>
      </w:pPr>
      <w:r>
        <w:rPr>
          <w:rFonts w:hint="eastAsia" w:ascii="楷体" w:hAnsi="楷体" w:eastAsia="楷体" w:cs="方正楷体_GBK"/>
          <w:kern w:val="2"/>
          <w:sz w:val="32"/>
          <w:szCs w:val="32"/>
        </w:rPr>
        <w:t>（四）强化技能人才培育。</w:t>
      </w:r>
      <w:r>
        <w:rPr>
          <w:rFonts w:hint="eastAsia" w:ascii="仿宋_GB2312" w:hAnsi="仿宋_GB2312" w:eastAsia="仿宋_GB2312" w:cs="仿宋_GB2312"/>
          <w:kern w:val="2"/>
          <w:sz w:val="32"/>
          <w:szCs w:val="32"/>
        </w:rPr>
        <w:t>实施《首都技能人才“金蓝领”培育行动计划》，围绕首都数字经济标杆城市建设，面向软件和信息服务、数字经济基础设施建设、物联网、工业互联网等重点领域，加强大数据、软件开发、数字化管理等技能人才培育，引导企业加强数字工作场所的职工技能培训，符合条件的可享受培训补贴。</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（五）开展公共知识培训。</w:t>
      </w:r>
      <w:r>
        <w:rPr>
          <w:rFonts w:hint="eastAsia" w:ascii="仿宋_GB2312" w:hAnsi="仿宋_GB2312" w:eastAsia="仿宋_GB2312" w:cs="仿宋_GB2312"/>
          <w:kern w:val="2"/>
          <w:sz w:val="32"/>
          <w:szCs w:val="32"/>
        </w:rPr>
        <w:t>依托专业技术人才知识更新工程，不断提升专业技术人员数字素养，紧贴行业发展需要和人才成长需求，加强公共知识课程研发，推进线下线上培训体系建设，推动专业技术人员掌握数字技术前沿发展方向和应用产业变革趋势。</w:t>
      </w:r>
    </w:p>
    <w:p>
      <w:pPr>
        <w:pStyle w:val="9"/>
        <w:widowControl w:val="0"/>
        <w:shd w:val="clear" w:color="auto" w:fill="FFFFFF"/>
        <w:spacing w:before="0" w:beforeAutospacing="0" w:after="0" w:afterAutospacing="0" w:line="600" w:lineRule="exact"/>
        <w:ind w:firstLine="640" w:firstLineChars="200"/>
        <w:rPr>
          <w:rFonts w:ascii="仿宋_GB2312" w:hAnsi="仿宋" w:eastAsia="仿宋_GB2312" w:cstheme="minorBidi"/>
          <w:kern w:val="2"/>
          <w:sz w:val="32"/>
          <w:szCs w:val="32"/>
        </w:rPr>
      </w:pPr>
      <w:r>
        <w:rPr>
          <w:rFonts w:hint="eastAsia" w:ascii="楷体" w:hAnsi="楷体" w:eastAsia="楷体" w:cs="方正楷体_GBK"/>
          <w:kern w:val="2"/>
          <w:sz w:val="32"/>
          <w:szCs w:val="32"/>
        </w:rPr>
        <w:t>（六）创新人才评价机制。</w:t>
      </w:r>
      <w:r>
        <w:rPr>
          <w:rFonts w:hint="eastAsia" w:ascii="仿宋_GB2312" w:hAnsi="仿宋_GB2312" w:eastAsia="仿宋_GB2312" w:cs="仿宋_GB2312"/>
          <w:kern w:val="2"/>
          <w:sz w:val="32"/>
          <w:szCs w:val="32"/>
        </w:rPr>
        <w:t>探索增设数字经济职称评价专业，在人工智能、集成电路、物联网、大数据、云计算、数字化管理、智能制造、工业互联网、虚拟现实、区块链等新职业中从事数字经济方向的专业技术人才可申报相应专业职称，打通各类数字经济领域技术技能人才职业成长通道。</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三、实施数字技术工程师培育项目</w:t>
      </w:r>
    </w:p>
    <w:p>
      <w:pPr>
        <w:pStyle w:val="9"/>
        <w:widowControl w:val="0"/>
        <w:shd w:val="clear" w:color="auto" w:fill="FFFFFF"/>
        <w:spacing w:before="0" w:beforeAutospacing="0" w:after="0" w:afterAutospacing="0" w:line="600" w:lineRule="exact"/>
        <w:ind w:firstLine="629"/>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针对工程技术技能人才，分职业、分方向、分等级，采取“规范化培训、社会化评价、项目化管理”的方式进行培育，在岗或拟从事数字技术技能的各类从业人员、普通高校和技工院校全日制毕业学年学生，均可参加。</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（一）组织规范化培训。</w:t>
      </w:r>
      <w:r>
        <w:rPr>
          <w:rFonts w:hint="eastAsia" w:ascii="仿宋_GB2312" w:hAnsi="仿宋_GB2312" w:eastAsia="仿宋_GB2312" w:cs="仿宋_GB2312"/>
          <w:kern w:val="2"/>
          <w:sz w:val="32"/>
          <w:szCs w:val="32"/>
        </w:rPr>
        <w:t>培训机构按照国家职业标准和培训大纲明确的培训学时、内容和要求，采取线上和线下方式开展培训。对完成规定学时和内容的学员进行结业考核，合格的由培训机构颁发全国统一制式的培训合格证书，证书信息可在“北京继续教育”网站查询。</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（二）开展社会化评价。</w:t>
      </w:r>
      <w:r>
        <w:rPr>
          <w:rFonts w:hint="eastAsia" w:ascii="仿宋_GB2312" w:hAnsi="仿宋_GB2312" w:eastAsia="仿宋_GB2312" w:cs="仿宋_GB2312"/>
          <w:kern w:val="2"/>
          <w:sz w:val="32"/>
          <w:szCs w:val="32"/>
        </w:rPr>
        <w:t>评价机构对培训合格人员按照国家职业标准进行专业技术等级考核，合格的由评价机构颁发全国统一制式的专业技术等级证书，证书信息可在国家专业技术人才知识更新工程网、“北京继续教育”网站查询。</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（三）贯通专业技术职称。</w:t>
      </w:r>
      <w:r>
        <w:rPr>
          <w:rFonts w:hint="eastAsia" w:ascii="仿宋_GB2312" w:hAnsi="仿宋_GB2312" w:eastAsia="仿宋_GB2312" w:cs="仿宋_GB2312"/>
          <w:kern w:val="2"/>
          <w:sz w:val="32"/>
          <w:szCs w:val="32"/>
        </w:rPr>
        <w:t>对参加数字技术工程师培育项目且取得中、初级专业技术等级证书，且符合本市相应系列职称制度改革实施办法中规定的学历、年限条件的，可对应相应系列和层级的职称，并可作为申报高一级职称的条件，无需换发北京市职称证书。对参加数字技术工程师培育项目取得高级专业技术等级证书，且符合本市相应系列职称制度改革实施办法中规定的学历、年限条件的，可直接申报高级工程师职称评审，并作为职称评审的重要参考。</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（四）鼓励技能人才学习。</w:t>
      </w:r>
      <w:r>
        <w:rPr>
          <w:rFonts w:hint="eastAsia" w:ascii="仿宋_GB2312" w:hAnsi="仿宋_GB2312" w:eastAsia="仿宋_GB2312" w:cs="仿宋_GB2312"/>
          <w:kern w:val="2"/>
          <w:sz w:val="32"/>
          <w:szCs w:val="32"/>
        </w:rPr>
        <w:t>加大数字技能职业培训力度，探索“互联网+”职业技能培训模式，推动职业技能数字化培训模式发展。用人单位在聘的数字经济领域各层级高技能人才可参加相应层级的数字技术工程师培育项目学习，取得专业技术等级证书的，享受贯通专业技术职称的政策。</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四、组织保障</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（一）加强组织领导。</w:t>
      </w:r>
      <w:r>
        <w:rPr>
          <w:rFonts w:hint="eastAsia" w:ascii="仿宋_GB2312" w:hAnsi="仿宋_GB2312" w:eastAsia="仿宋_GB2312" w:cs="仿宋_GB2312"/>
          <w:kern w:val="2"/>
          <w:sz w:val="32"/>
          <w:szCs w:val="32"/>
        </w:rPr>
        <w:t>市人力资源社会保障局负责数字技术技能人才培养的统筹协调与组织实施，加强监督管理，规范培养项目和培训活动。各区人力资源社会保障局组织做好辖区内数字技术技能人才相关工作，对培训机构实施日常检查和监督。各单位要高度重视数字技术技能人才培养工作，抓住数字经济发展的重要机遇期，切实加强组织领导和沟通协调，加快自主培养。</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（二）认定继续教育学时。</w:t>
      </w:r>
      <w:r>
        <w:rPr>
          <w:rFonts w:hint="eastAsia" w:ascii="仿宋_GB2312" w:hAnsi="仿宋_GB2312" w:eastAsia="仿宋_GB2312" w:cs="仿宋_GB2312"/>
          <w:kern w:val="2"/>
          <w:sz w:val="32"/>
          <w:szCs w:val="32"/>
        </w:rPr>
        <w:t>参加数字技术培训取得的相应学时记入当年度继续教育专业课学时，可以登记到《专业技术人员继续教育登记手册》，作为年度考核、晋升和职称评定的重要依据。</w:t>
      </w:r>
    </w:p>
    <w:p>
      <w:pPr>
        <w:pStyle w:val="9"/>
        <w:widowControl w:val="0"/>
        <w:shd w:val="clear" w:color="auto" w:fill="FFFFFF"/>
        <w:spacing w:before="0" w:beforeAutospacing="0" w:after="0" w:afterAutospacing="0" w:line="60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w:t>
      </w:r>
      <w:r>
        <w:rPr>
          <w:rFonts w:hint="eastAsia" w:ascii="楷体" w:hAnsi="楷体" w:eastAsia="楷体" w:cs="方正楷体_GBK"/>
          <w:kern w:val="2"/>
          <w:sz w:val="32"/>
          <w:szCs w:val="32"/>
        </w:rPr>
        <w:t>（三）足额提取教育经费。</w:t>
      </w:r>
      <w:r>
        <w:rPr>
          <w:rFonts w:hint="eastAsia" w:ascii="仿宋_GB2312" w:hAnsi="仿宋_GB2312" w:eastAsia="仿宋_GB2312" w:cs="仿宋_GB2312"/>
          <w:kern w:val="2"/>
          <w:sz w:val="32"/>
          <w:szCs w:val="32"/>
        </w:rPr>
        <w:t>鼓励用人单位按照国家和北京市有关规定，足额提取并使用职工教育经费，并向数字技术技能人才培养项目倾斜，确保专业技术人员脱产参加继续教育学习期间享受与在岗人员同等的工资福利和保险待遇。</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楷体" w:hAnsi="楷体" w:eastAsia="楷体" w:cs="方正楷体_GBK"/>
          <w:sz w:val="32"/>
          <w:szCs w:val="32"/>
        </w:rPr>
        <w:t>（四）加强评估考核。</w:t>
      </w:r>
      <w:r>
        <w:rPr>
          <w:rFonts w:hint="eastAsia" w:ascii="仿宋_GB2312" w:hAnsi="仿宋_GB2312" w:eastAsia="仿宋_GB2312" w:cs="仿宋_GB2312"/>
          <w:sz w:val="32"/>
          <w:szCs w:val="32"/>
        </w:rPr>
        <w:t>培训机构应着眼为国家、为社会、为用人单位培养人才，加强数字技术领域职业培训师资、课程、基础建设和教法教学研究，严格培训学员考勤和教学质量评估。突出公益性、示范性，按照弥补成本、以支定收的原则，结合市场需求和经济发展水平等因素合理确定收费标准。探索人才自主培养新模式，发挥人才培养示范引领作用，打造人才培养优质品牌，切实履行社会机构主体责任。</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（五）形成工作合力。</w:t>
      </w:r>
      <w:r>
        <w:rPr>
          <w:rFonts w:hint="eastAsia" w:ascii="仿宋_GB2312" w:hAnsi="仿宋_GB2312" w:eastAsia="仿宋_GB2312" w:cs="仿宋_GB2312"/>
          <w:kern w:val="2"/>
          <w:sz w:val="32"/>
          <w:szCs w:val="32"/>
        </w:rPr>
        <w:t>发挥“北京继续教育”网站服务、宣传作用，为广大数字技术技能人才提供培训政策咨询、培训内容指导、培训学时安排、培训机构选择等服务，增强培训的针对性和实效性；宣传各级各类技术技能竞赛中获得优秀名次的数字人才，以及数字人才培养工作优秀单位和个人，营造良好氛围，凝聚各方力量。</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本方案自印发之日起施行。</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附件：1.北京市数字技术工程师评价、培训机构</w:t>
      </w:r>
    </w:p>
    <w:p>
      <w:pPr>
        <w:pStyle w:val="9"/>
        <w:widowControl w:val="0"/>
        <w:shd w:val="clear" w:color="auto" w:fill="FFFFFF"/>
        <w:spacing w:before="0" w:beforeAutospacing="0" w:after="0" w:afterAutospacing="0" w:line="600" w:lineRule="exact"/>
        <w:ind w:left="1954" w:leftChars="476" w:hanging="954"/>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2.北京市专业技术人员继续教育基地名单（数字技术领域）</w:t>
      </w:r>
    </w:p>
    <w:p>
      <w:pPr>
        <w:pStyle w:val="9"/>
        <w:widowControl w:val="0"/>
        <w:shd w:val="clear" w:color="auto" w:fill="FFFFFF"/>
        <w:spacing w:before="0" w:beforeAutospacing="0" w:after="0" w:afterAutospacing="0" w:line="600" w:lineRule="exact"/>
        <w:ind w:firstLine="1600" w:firstLineChars="5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3.北京市专业技术人才知识更新工程培训证书</w:t>
      </w:r>
    </w:p>
    <w:p>
      <w:pPr>
        <w:pStyle w:val="9"/>
        <w:widowControl w:val="0"/>
        <w:shd w:val="clear" w:color="auto" w:fill="FFFFFF"/>
        <w:spacing w:before="0" w:beforeAutospacing="0" w:after="0" w:afterAutospacing="0" w:line="600" w:lineRule="exact"/>
        <w:ind w:firstLine="1600" w:firstLineChars="5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4.培训合格证书参考样式</w:t>
      </w:r>
    </w:p>
    <w:p>
      <w:pPr>
        <w:pStyle w:val="9"/>
        <w:widowControl w:val="0"/>
        <w:shd w:val="clear" w:color="auto" w:fill="FFFFFF"/>
        <w:spacing w:before="0" w:beforeAutospacing="0" w:after="0" w:afterAutospacing="0" w:line="600" w:lineRule="exact"/>
        <w:ind w:firstLine="28"/>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5.专业技术等级证书参考样式</w:t>
      </w:r>
    </w:p>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1</w:t>
      </w:r>
    </w:p>
    <w:p>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北京市数字技术工程师评价、培训机构</w:t>
      </w:r>
    </w:p>
    <w:p>
      <w:pPr>
        <w:spacing w:after="312" w:afterLines="100" w:line="500" w:lineRule="exact"/>
        <w:jc w:val="center"/>
        <w:rPr>
          <w:rFonts w:ascii="仿宋" w:hAnsi="仿宋" w:eastAsia="仿宋"/>
          <w:sz w:val="28"/>
          <w:szCs w:val="28"/>
        </w:rPr>
      </w:pPr>
      <w:r>
        <w:rPr>
          <w:rFonts w:hint="eastAsia" w:ascii="仿宋" w:hAnsi="仿宋" w:eastAsia="仿宋"/>
          <w:sz w:val="28"/>
          <w:szCs w:val="28"/>
        </w:rPr>
        <w:t>（2022年度）</w:t>
      </w:r>
    </w:p>
    <w:tbl>
      <w:tblPr>
        <w:tblStyle w:val="11"/>
        <w:tblW w:w="8844" w:type="dxa"/>
        <w:tblInd w:w="9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09"/>
        <w:gridCol w:w="5640"/>
        <w:gridCol w:w="20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8844" w:type="dxa"/>
            <w:gridSpan w:val="3"/>
            <w:shd w:val="clear" w:color="auto" w:fill="auto"/>
            <w:vAlign w:val="center"/>
          </w:tcPr>
          <w:p>
            <w:pPr>
              <w:widowControl/>
              <w:spacing w:line="340" w:lineRule="exact"/>
              <w:jc w:val="center"/>
              <w:textAlignment w:val="center"/>
              <w:rPr>
                <w:rFonts w:ascii="仿宋" w:hAnsi="仿宋" w:eastAsia="仿宋" w:cs="方正仿宋_GBK"/>
                <w:b/>
                <w:color w:val="000000"/>
                <w:sz w:val="28"/>
                <w:szCs w:val="28"/>
              </w:rPr>
            </w:pPr>
            <w:r>
              <w:rPr>
                <w:rFonts w:hint="eastAsia" w:ascii="仿宋" w:hAnsi="仿宋" w:eastAsia="仿宋" w:cs="方正仿宋_GBK"/>
                <w:b/>
                <w:color w:val="000000"/>
                <w:sz w:val="28"/>
                <w:szCs w:val="28"/>
              </w:rPr>
              <w:t>智能制造专业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中国机械工程学会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中国地质大学（北京）</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中国电子技术标准化研究院</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6</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中国兵器工业集团人才研究中心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7</w:t>
            </w:r>
          </w:p>
        </w:tc>
        <w:tc>
          <w:tcPr>
            <w:tcW w:w="5640" w:type="dxa"/>
            <w:tcBorders>
              <w:bottom w:val="double" w:color="000000" w:sz="4" w:space="0"/>
            </w:tcBorders>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中国继续工程教育协会</w:t>
            </w:r>
          </w:p>
        </w:tc>
        <w:tc>
          <w:tcPr>
            <w:tcW w:w="2095"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8844" w:type="dxa"/>
            <w:gridSpan w:val="3"/>
            <w:tcBorders>
              <w:top w:val="double" w:color="000000" w:sz="4" w:space="0"/>
              <w:bottom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8"/>
                <w:szCs w:val="28"/>
              </w:rPr>
            </w:pPr>
            <w:r>
              <w:rPr>
                <w:rFonts w:hint="eastAsia" w:ascii="仿宋" w:hAnsi="仿宋" w:eastAsia="仿宋" w:cs="方正仿宋_GBK"/>
                <w:b/>
                <w:color w:val="000000"/>
                <w:sz w:val="28"/>
                <w:szCs w:val="28"/>
              </w:rPr>
              <w:t>大数据专业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工业和信息化部教育与考试中心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国家工业信息安全发展研究中心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中国机械工程学会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6</w:t>
            </w:r>
          </w:p>
        </w:tc>
        <w:tc>
          <w:tcPr>
            <w:tcW w:w="5640" w:type="dxa"/>
            <w:tcBorders>
              <w:bottom w:val="double" w:color="000000" w:sz="4" w:space="0"/>
            </w:tcBorders>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中国继续工程教育协会</w:t>
            </w:r>
          </w:p>
        </w:tc>
        <w:tc>
          <w:tcPr>
            <w:tcW w:w="2095"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8844" w:type="dxa"/>
            <w:gridSpan w:val="3"/>
            <w:tcBorders>
              <w:top w:val="double" w:color="000000" w:sz="4" w:space="0"/>
              <w:bottom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bCs/>
                <w:color w:val="000000"/>
                <w:kern w:val="0"/>
                <w:sz w:val="28"/>
                <w:szCs w:val="28"/>
                <w:lang w:bidi="ar"/>
              </w:rPr>
            </w:pPr>
            <w:r>
              <w:rPr>
                <w:rFonts w:hint="eastAsia" w:ascii="仿宋" w:hAnsi="仿宋" w:eastAsia="仿宋" w:cs="方正仿宋_GBK"/>
                <w:b/>
                <w:bCs/>
                <w:color w:val="000000"/>
                <w:kern w:val="0"/>
                <w:sz w:val="28"/>
                <w:szCs w:val="28"/>
                <w:lang w:bidi="ar"/>
              </w:rPr>
              <w:t>区块链专业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中国电子学会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北京市海淀区中关村软件园人才基地培训中心</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工业和信息化部人才交流中心</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中国科学院大学</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bl>
    <w:p>
      <w:pPr>
        <w:spacing w:line="5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北京市专业技术人员继续教育基地名单</w:t>
      </w:r>
    </w:p>
    <w:p>
      <w:pPr>
        <w:spacing w:line="500" w:lineRule="exact"/>
        <w:jc w:val="center"/>
        <w:rPr>
          <w:rFonts w:ascii="仿宋" w:hAnsi="仿宋" w:eastAsia="仿宋"/>
          <w:sz w:val="28"/>
          <w:szCs w:val="28"/>
        </w:rPr>
      </w:pPr>
      <w:r>
        <w:rPr>
          <w:rFonts w:hint="eastAsia" w:ascii="仿宋" w:hAnsi="仿宋" w:eastAsia="仿宋"/>
          <w:sz w:val="28"/>
          <w:szCs w:val="28"/>
        </w:rPr>
        <w:t>（数字技术领域）</w:t>
      </w:r>
    </w:p>
    <w:p>
      <w:pPr>
        <w:spacing w:line="440" w:lineRule="exact"/>
        <w:jc w:val="center"/>
        <w:rPr>
          <w:rFonts w:ascii="方正小标宋简体" w:eastAsia="方正小标宋简体"/>
          <w:sz w:val="36"/>
          <w:szCs w:val="36"/>
        </w:rPr>
      </w:pPr>
    </w:p>
    <w:tbl>
      <w:tblPr>
        <w:tblStyle w:val="12"/>
        <w:tblW w:w="88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1"/>
        <w:gridCol w:w="6767"/>
        <w:gridCol w:w="1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blHeader/>
          <w:jc w:val="center"/>
        </w:trPr>
        <w:tc>
          <w:tcPr>
            <w:tcW w:w="581" w:type="dxa"/>
            <w:vAlign w:val="center"/>
          </w:tcPr>
          <w:p>
            <w:pPr>
              <w:ind w:left="-126" w:leftChars="-60" w:right="-101" w:rightChars="-48"/>
              <w:jc w:val="center"/>
              <w:rPr>
                <w:rFonts w:ascii="仿宋_GB2312" w:eastAsia="仿宋_GB2312"/>
                <w:b/>
                <w:sz w:val="24"/>
                <w:szCs w:val="24"/>
              </w:rPr>
            </w:pPr>
            <w:r>
              <w:rPr>
                <w:rFonts w:hint="eastAsia" w:ascii="仿宋_GB2312" w:eastAsia="仿宋_GB2312"/>
                <w:b/>
                <w:sz w:val="24"/>
                <w:szCs w:val="24"/>
              </w:rPr>
              <w:br w:type="page"/>
            </w:r>
            <w:r>
              <w:rPr>
                <w:rFonts w:hint="eastAsia" w:ascii="仿宋_GB2312" w:eastAsia="仿宋_GB2312"/>
                <w:b/>
                <w:sz w:val="24"/>
                <w:szCs w:val="24"/>
              </w:rPr>
              <w:t>序号</w:t>
            </w:r>
          </w:p>
        </w:tc>
        <w:tc>
          <w:tcPr>
            <w:tcW w:w="6767" w:type="dxa"/>
            <w:vAlign w:val="center"/>
          </w:tcPr>
          <w:p>
            <w:pPr>
              <w:jc w:val="center"/>
              <w:rPr>
                <w:rFonts w:ascii="仿宋_GB2312" w:eastAsia="仿宋_GB2312"/>
                <w:b/>
                <w:sz w:val="24"/>
                <w:szCs w:val="24"/>
              </w:rPr>
            </w:pPr>
            <w:r>
              <w:rPr>
                <w:rFonts w:hint="eastAsia" w:ascii="仿宋_GB2312" w:eastAsia="仿宋_GB2312"/>
                <w:b/>
                <w:sz w:val="24"/>
                <w:szCs w:val="24"/>
              </w:rPr>
              <w:t xml:space="preserve">单 </w:t>
            </w:r>
            <w:r>
              <w:rPr>
                <w:rFonts w:ascii="仿宋_GB2312" w:eastAsia="仿宋_GB2312"/>
                <w:b/>
                <w:sz w:val="24"/>
                <w:szCs w:val="24"/>
              </w:rPr>
              <w:t xml:space="preserve">  </w:t>
            </w:r>
            <w:r>
              <w:rPr>
                <w:rFonts w:hint="eastAsia" w:ascii="仿宋_GB2312" w:eastAsia="仿宋_GB2312"/>
                <w:b/>
                <w:sz w:val="24"/>
                <w:szCs w:val="24"/>
              </w:rPr>
              <w:t>位</w:t>
            </w:r>
          </w:p>
        </w:tc>
        <w:tc>
          <w:tcPr>
            <w:tcW w:w="1516" w:type="dxa"/>
            <w:vAlign w:val="center"/>
          </w:tcPr>
          <w:p>
            <w:pPr>
              <w:jc w:val="center"/>
              <w:rPr>
                <w:rFonts w:ascii="仿宋_GB2312" w:eastAsia="仿宋_GB2312"/>
                <w:b/>
                <w:sz w:val="24"/>
                <w:szCs w:val="24"/>
              </w:rPr>
            </w:pPr>
            <w:r>
              <w:rPr>
                <w:rFonts w:hint="eastAsia" w:ascii="仿宋_GB2312" w:eastAsia="仿宋_GB2312"/>
                <w:b/>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1</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北京工业大学</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2</w:t>
            </w:r>
          </w:p>
        </w:tc>
        <w:tc>
          <w:tcPr>
            <w:tcW w:w="6767" w:type="dxa"/>
            <w:vAlign w:val="center"/>
          </w:tcPr>
          <w:p>
            <w:pPr>
              <w:spacing w:line="460" w:lineRule="exact"/>
              <w:rPr>
                <w:rFonts w:ascii="仿宋_GB2312" w:eastAsia="仿宋_GB2312"/>
                <w:sz w:val="24"/>
                <w:szCs w:val="24"/>
              </w:rPr>
            </w:pPr>
            <w:r>
              <w:rPr>
                <w:rFonts w:ascii="仿宋_GB2312" w:eastAsia="仿宋_GB2312"/>
                <w:sz w:val="24"/>
                <w:szCs w:val="24"/>
              </w:rPr>
              <w:t>北京信息职业技术学院</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3</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首钢工学院</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4</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中国人民大学</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国家级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5</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中关村创新研修学院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6</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北京市科技教育中心（北京市科学技术协会党校）</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7</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北京交通运输职业学院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8</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中关村软件园人才基地培训中心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581" w:type="dxa"/>
            <w:vMerge w:val="restart"/>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9</w:t>
            </w:r>
          </w:p>
        </w:tc>
        <w:tc>
          <w:tcPr>
            <w:tcW w:w="6767" w:type="dxa"/>
            <w:vAlign w:val="center"/>
          </w:tcPr>
          <w:p>
            <w:pPr>
              <w:spacing w:line="400" w:lineRule="exact"/>
              <w:rPr>
                <w:rFonts w:ascii="仿宋_GB2312" w:eastAsia="仿宋_GB2312"/>
                <w:sz w:val="24"/>
                <w:szCs w:val="24"/>
              </w:rPr>
            </w:pPr>
            <w:r>
              <w:rPr>
                <w:rFonts w:hint="eastAsia" w:ascii="仿宋_GB2312" w:eastAsia="仿宋_GB2312"/>
                <w:sz w:val="24"/>
                <w:szCs w:val="24"/>
              </w:rPr>
              <w:t>北京市计算中心</w:t>
            </w:r>
          </w:p>
        </w:tc>
        <w:tc>
          <w:tcPr>
            <w:tcW w:w="1516" w:type="dxa"/>
            <w:vMerge w:val="restart"/>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Merge w:val="continue"/>
            <w:vAlign w:val="center"/>
          </w:tcPr>
          <w:p>
            <w:pPr>
              <w:spacing w:line="460" w:lineRule="exact"/>
              <w:ind w:left="-126" w:leftChars="-60" w:right="-101" w:rightChars="-48"/>
              <w:jc w:val="center"/>
              <w:rPr>
                <w:rFonts w:ascii="仿宋_GB2312" w:eastAsia="仿宋_GB2312"/>
                <w:sz w:val="24"/>
                <w:szCs w:val="24"/>
              </w:rPr>
            </w:pPr>
          </w:p>
        </w:tc>
        <w:tc>
          <w:tcPr>
            <w:tcW w:w="6767" w:type="dxa"/>
            <w:vAlign w:val="center"/>
          </w:tcPr>
          <w:p>
            <w:pPr>
              <w:spacing w:line="400" w:lineRule="exact"/>
              <w:jc w:val="left"/>
              <w:rPr>
                <w:rFonts w:ascii="仿宋_GB2312" w:eastAsia="仿宋_GB2312"/>
                <w:sz w:val="24"/>
                <w:szCs w:val="24"/>
              </w:rPr>
            </w:pPr>
            <w:r>
              <w:rPr>
                <w:rFonts w:hint="eastAsia" w:ascii="仿宋_GB2312" w:eastAsia="仿宋_GB2312"/>
                <w:sz w:val="24"/>
                <w:szCs w:val="24"/>
              </w:rPr>
              <w:t>北京市科学技术研究院城市安全与环境科学研究所</w:t>
            </w:r>
          </w:p>
        </w:tc>
        <w:tc>
          <w:tcPr>
            <w:tcW w:w="1516" w:type="dxa"/>
            <w:vMerge w:val="continue"/>
            <w:vAlign w:val="center"/>
          </w:tcPr>
          <w:p>
            <w:pPr>
              <w:spacing w:line="460" w:lineRule="exact"/>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10</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北京城市学院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11</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北京电子科技职业学院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12</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中国软件评测中心(工业和信息化部软件与集成电路促进中心)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13</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北京工业职业技术学院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14</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北京工商大学教育培训中心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15</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北京市科学技术协会创新服务中心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6</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北京软件和信息服务业协会</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7</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北京启明星辰信息安全技术有限公司</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8</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北京技术市场协会</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9</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北京交通大学</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0</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北京创联教育投资有限公司</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bl>
    <w:p>
      <w:pPr>
        <w:spacing w:line="40" w:lineRule="exact"/>
        <w:rPr>
          <w:rFonts w:ascii="黑体" w:hAnsi="黑体" w:eastAsia="黑体"/>
          <w:kern w:val="0"/>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黑体" w:hAnsi="黑体" w:eastAsia="黑体"/>
          <w:kern w:val="0"/>
          <w:sz w:val="32"/>
          <w:szCs w:val="32"/>
        </w:rPr>
        <w:br w:type="page"/>
      </w:r>
    </w:p>
    <w:p>
      <w:pPr>
        <w:spacing w:line="500" w:lineRule="exact"/>
        <w:rPr>
          <w:rFonts w:ascii="黑体" w:hAnsi="黑体" w:eastAsia="黑体"/>
          <w:kern w:val="0"/>
          <w:sz w:val="32"/>
          <w:szCs w:val="32"/>
        </w:rPr>
      </w:pPr>
      <w:r>
        <w:rPr>
          <w:rFonts w:hint="eastAsia" w:ascii="黑体" w:hAnsi="黑体" w:eastAsia="黑体"/>
          <w:kern w:val="0"/>
          <w:sz w:val="32"/>
          <w:szCs w:val="32"/>
        </w:rPr>
        <w:t>附件3</w:t>
      </w: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北京市专业技术人才知识更新工程培训证书</w:t>
      </w:r>
    </w:p>
    <w:p>
      <w:pPr>
        <w:jc w:val="center"/>
        <w:rPr>
          <w:rFonts w:ascii="黑体" w:hAnsi="黑体" w:eastAsia="黑体"/>
          <w:kern w:val="0"/>
          <w:sz w:val="32"/>
          <w:szCs w:val="32"/>
        </w:rPr>
      </w:pPr>
      <w:r>
        <w:drawing>
          <wp:inline distT="0" distB="0" distL="0" distR="0">
            <wp:extent cx="6531610" cy="46120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546587" cy="4623021"/>
                    </a:xfrm>
                    <a:prstGeom prst="rect">
                      <a:avLst/>
                    </a:prstGeom>
                  </pic:spPr>
                </pic:pic>
              </a:graphicData>
            </a:graphic>
          </wp:inline>
        </w:drawing>
      </w:r>
      <w:r>
        <w:rPr>
          <w:rFonts w:hint="eastAsia" w:ascii="黑体" w:hAnsi="黑体" w:eastAsia="黑体"/>
          <w:kern w:val="0"/>
          <w:sz w:val="32"/>
          <w:szCs w:val="32"/>
        </w:rPr>
        <w:br w:type="page"/>
      </w:r>
    </w:p>
    <w:p>
      <w:pPr>
        <w:rPr>
          <w:rFonts w:ascii="黑体" w:hAnsi="黑体" w:eastAsia="黑体"/>
          <w:kern w:val="0"/>
          <w:sz w:val="32"/>
          <w:szCs w:val="32"/>
        </w:rPr>
        <w:sectPr>
          <w:pgSz w:w="16838" w:h="11906" w:orient="landscape"/>
          <w:pgMar w:top="1588" w:right="2098" w:bottom="1474" w:left="1985" w:header="851" w:footer="992" w:gutter="0"/>
          <w:pgNumType w:fmt="numberInDash"/>
          <w:cols w:space="425" w:num="1"/>
          <w:docGrid w:type="lines" w:linePitch="312" w:charSpace="0"/>
        </w:sectPr>
      </w:pPr>
    </w:p>
    <w:p>
      <w:pPr>
        <w:shd w:val="clear" w:color="auto" w:fill="FFFFFF"/>
        <w:spacing w:line="500" w:lineRule="exact"/>
        <w:rPr>
          <w:rFonts w:ascii="黑体" w:hAnsi="黑体" w:eastAsia="黑体"/>
          <w:kern w:val="0"/>
          <w:sz w:val="32"/>
          <w:szCs w:val="32"/>
        </w:rPr>
      </w:pPr>
      <w:r>
        <w:rPr>
          <w:rFonts w:hint="eastAsia" w:ascii="黑体" w:hAnsi="黑体" w:eastAsia="黑体"/>
          <w:kern w:val="0"/>
          <w:sz w:val="32"/>
          <w:szCs w:val="32"/>
        </w:rPr>
        <w:t>附件4</w:t>
      </w:r>
    </w:p>
    <w:p>
      <w:pPr>
        <w:jc w:val="left"/>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2604135</wp:posOffset>
                </wp:positionH>
                <wp:positionV relativeFrom="paragraph">
                  <wp:posOffset>7216140</wp:posOffset>
                </wp:positionV>
                <wp:extent cx="2686050" cy="909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86050" cy="909955"/>
                        </a:xfrm>
                        <a:prstGeom prst="rect">
                          <a:avLst/>
                        </a:prstGeom>
                        <a:noFill/>
                        <a:ln w="6350">
                          <a:noFill/>
                        </a:ln>
                        <a:effectLst/>
                      </wps:spPr>
                      <wps:txbx>
                        <w:txbxContent>
                          <w:p>
                            <w:pPr>
                              <w:spacing w:line="120" w:lineRule="auto"/>
                              <w:jc w:val="center"/>
                              <w:rPr>
                                <w:rFonts w:ascii="方正大标宋简体" w:hAnsi="方正大标宋简体" w:eastAsia="方正大标宋简体" w:cs="方正大标宋简体"/>
                                <w:color w:val="494429"/>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05pt;margin-top:568.2pt;height:71.65pt;width:211.5pt;z-index:251660288;mso-width-relative:page;mso-height-relative:page;" filled="f" stroked="f" coordsize="21600,21600" o:gfxdata="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WAGhw3QAAAA0BAAAPAAAAAAAAAAEAIAAA&#10;ACIAAABkcnMvZG93bnJldi54bWxQSwECFAAUAAAACACHTuJAYcshCEACAAB0BAAADgAAAAAAAAAB&#10;ACAAAAAsAQAAZHJzL2Uyb0RvYy54bWxQSwUGAAAAAAYABgBZAQAA3gUAAAAA&#10;">
                <v:fill on="f" focussize="0,0"/>
                <v:stroke on="f" weight="0.5pt"/>
                <v:imagedata o:title=""/>
                <o:lock v:ext="edit" aspectratio="f"/>
                <v:textbox>
                  <w:txbxContent>
                    <w:p>
                      <w:pPr>
                        <w:spacing w:line="120" w:lineRule="auto"/>
                        <w:jc w:val="center"/>
                        <w:rPr>
                          <w:rFonts w:ascii="方正大标宋简体" w:hAnsi="方正大标宋简体" w:eastAsia="方正大标宋简体" w:cs="方正大标宋简体"/>
                          <w:color w:val="494429"/>
                          <w:sz w:val="32"/>
                          <w:szCs w:val="32"/>
                        </w:rPr>
                      </w:pPr>
                    </w:p>
                  </w:txbxContent>
                </v:textbox>
              </v:shape>
            </w:pict>
          </mc:Fallback>
        </mc:AlternateContent>
      </w:r>
      <w:r>
        <w:rPr>
          <w:rFonts w:ascii="Times New Roman" w:hAnsi="Times New Roman" w:eastAsia="仿宋_GB2312" w:cs="Times New Roman"/>
          <w:sz w:val="32"/>
          <w:szCs w:val="32"/>
        </w:rPr>
        <w:object>
          <v:shape id="_x0000_i1025" o:spt="75" type="#_x0000_t75" style="height:528pt;width:430.5pt;" o:ole="t" filled="f" o:preferrelative="t" stroked="f" coordsize="21600,21600">
            <v:path/>
            <v:fill on="f" focussize="0,0"/>
            <v:stroke on="f" joinstyle="miter"/>
            <v:imagedata r:id="rId8" o:title=""/>
            <o:lock v:ext="edit" aspectratio="t"/>
            <w10:wrap type="none"/>
            <w10:anchorlock/>
          </v:shape>
          <o:OLEObject Type="Embed" ProgID="StaticMetafile" ShapeID="_x0000_i1025" DrawAspect="Content" ObjectID="_1468075725" r:id="rId7">
            <o:LockedField>false</o:LockedField>
          </o:OLEObject>
        </w:object>
      </w:r>
    </w:p>
    <w:p>
      <w:pPr>
        <w:spacing w:line="300" w:lineRule="exact"/>
        <w:ind w:left="1929" w:leftChars="608" w:right="479" w:rightChars="228" w:hanging="652" w:hangingChars="272"/>
        <w:rPr>
          <w:rFonts w:ascii="仿宋" w:hAnsi="仿宋" w:eastAsia="仿宋"/>
          <w:sz w:val="24"/>
          <w:szCs w:val="24"/>
        </w:rPr>
      </w:pPr>
      <w:r>
        <w:rPr>
          <w:rFonts w:ascii="仿宋" w:hAnsi="仿宋" w:eastAsia="仿宋" w:cs="Times New Roman"/>
          <w:sz w:val="24"/>
          <w:szCs w:val="24"/>
        </w:rPr>
        <w:t>注：1</w:t>
      </w:r>
      <w:r>
        <w:rPr>
          <w:rFonts w:hint="eastAsia" w:ascii="仿宋" w:hAnsi="仿宋" w:eastAsia="仿宋" w:cs="Times New Roman"/>
          <w:sz w:val="24"/>
          <w:szCs w:val="24"/>
        </w:rPr>
        <w:t>.</w:t>
      </w:r>
      <w:r>
        <w:rPr>
          <w:rFonts w:ascii="仿宋" w:hAnsi="仿宋" w:eastAsia="仿宋" w:cs="Times New Roman"/>
          <w:sz w:val="24"/>
          <w:szCs w:val="24"/>
        </w:rPr>
        <w:t>本证书格式仅供参考，培训机构可在保留上述内容信息的基础上自行确定证书内容信息。</w:t>
      </w:r>
    </w:p>
    <w:p>
      <w:pPr>
        <w:spacing w:line="300" w:lineRule="exact"/>
        <w:ind w:left="1914" w:leftChars="740" w:right="479" w:rightChars="228" w:hanging="360"/>
        <w:rPr>
          <w:rFonts w:ascii="仿宋" w:hAnsi="仿宋" w:eastAsia="仿宋"/>
          <w:sz w:val="24"/>
          <w:szCs w:val="24"/>
        </w:rPr>
      </w:pPr>
      <w:r>
        <w:rPr>
          <w:rFonts w:ascii="仿宋" w:hAnsi="仿宋" w:eastAsia="仿宋" w:cs="Times New Roman"/>
          <w:sz w:val="24"/>
          <w:szCs w:val="24"/>
        </w:rPr>
        <w:t xml:space="preserve"> 2</w:t>
      </w:r>
      <w:r>
        <w:rPr>
          <w:rFonts w:hint="eastAsia" w:ascii="仿宋" w:hAnsi="仿宋" w:eastAsia="仿宋" w:cs="Times New Roman"/>
          <w:sz w:val="24"/>
          <w:szCs w:val="24"/>
        </w:rPr>
        <w:t>.</w:t>
      </w:r>
      <w:r>
        <w:rPr>
          <w:rFonts w:ascii="仿宋" w:hAnsi="仿宋" w:eastAsia="仿宋" w:cs="Times New Roman"/>
          <w:sz w:val="24"/>
          <w:szCs w:val="24"/>
        </w:rPr>
        <w:t xml:space="preserve">培训机构名称、印章应与人力资源社会保障部公布目录中名称一致。印章可使用本机构人事劳动保障工作机构代章。 </w:t>
      </w:r>
    </w:p>
    <w:p>
      <w:pPr>
        <w:spacing w:line="300" w:lineRule="exact"/>
        <w:ind w:left="708" w:leftChars="337" w:right="479" w:rightChars="228" w:firstLine="480"/>
        <w:rPr>
          <w:rFonts w:ascii="Times New Roman" w:hAnsi="Times New Roman" w:eastAsia="仿宋_GB2312" w:cs="Times New Roman"/>
          <w:sz w:val="24"/>
          <w:szCs w:val="24"/>
        </w:rPr>
        <w:sectPr>
          <w:pgSz w:w="11906" w:h="16838"/>
          <w:pgMar w:top="2098" w:right="1474" w:bottom="1985" w:left="1588" w:header="851" w:footer="992" w:gutter="0"/>
          <w:pgNumType w:fmt="numberInDash"/>
          <w:cols w:space="425" w:num="1"/>
          <w:docGrid w:type="lines" w:linePitch="312" w:charSpace="0"/>
        </w:sect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3</w:t>
      </w:r>
      <w:r>
        <w:rPr>
          <w:rFonts w:hint="eastAsia" w:eastAsia="仿宋_GB2312" w:cs="Times New Roman"/>
          <w:sz w:val="24"/>
          <w:szCs w:val="24"/>
        </w:rPr>
        <w:t>.</w:t>
      </w:r>
      <w:r>
        <w:rPr>
          <w:rFonts w:ascii="Times New Roman" w:hAnsi="Times New Roman" w:eastAsia="仿宋_GB2312" w:cs="Times New Roman"/>
          <w:sz w:val="24"/>
          <w:szCs w:val="24"/>
        </w:rPr>
        <w:t>证书编号由培训机构自行设置</w:t>
      </w:r>
      <w:r>
        <w:rPr>
          <w:rFonts w:hint="eastAsia" w:ascii="Times New Roman" w:hAnsi="Times New Roman" w:eastAsia="仿宋_GB2312" w:cs="Times New Roman"/>
          <w:sz w:val="24"/>
          <w:szCs w:val="24"/>
        </w:rPr>
        <w:t>。</w:t>
      </w:r>
    </w:p>
    <w:p>
      <w:pPr>
        <w:pStyle w:val="9"/>
        <w:shd w:val="clear" w:color="auto" w:fill="FFFFFF"/>
        <w:spacing w:before="0" w:beforeAutospacing="0" w:after="0" w:afterAutospacing="0"/>
        <w:jc w:val="both"/>
        <w:rPr>
          <w:rFonts w:ascii="仿宋_GB2312" w:eastAsia="仿宋_GB2312"/>
          <w:color w:val="3D3D3D"/>
          <w:sz w:val="32"/>
          <w:szCs w:val="32"/>
        </w:rPr>
      </w:pPr>
      <w:r>
        <w:rPr>
          <w:rFonts w:ascii="Times New Roman" w:hAnsi="Times New Roman" w:eastAsia="仿宋_GB2312" w:cs="Times New Roman"/>
          <w:sz w:val="32"/>
          <w:szCs w:val="32"/>
        </w:rPr>
        <mc:AlternateContent>
          <mc:Choice Requires="wps">
            <w:drawing>
              <wp:anchor distT="45720" distB="45720" distL="114300" distR="114300" simplePos="0" relativeHeight="251659264" behindDoc="0" locked="0" layoutInCell="1" allowOverlap="1">
                <wp:simplePos x="0" y="0"/>
                <wp:positionH relativeFrom="column">
                  <wp:posOffset>39370</wp:posOffset>
                </wp:positionH>
                <wp:positionV relativeFrom="paragraph">
                  <wp:posOffset>10795</wp:posOffset>
                </wp:positionV>
                <wp:extent cx="962025" cy="857250"/>
                <wp:effectExtent l="0" t="0" r="9525"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857250"/>
                        </a:xfrm>
                        <a:prstGeom prst="rect">
                          <a:avLst/>
                        </a:prstGeom>
                        <a:solidFill>
                          <a:schemeClr val="bg1"/>
                        </a:solidFill>
                        <a:ln w="9525">
                          <a:noFill/>
                          <a:miter lim="800000"/>
                        </a:ln>
                      </wps:spPr>
                      <wps:txbx>
                        <w:txbxContent>
                          <w:p>
                            <w:pPr>
                              <w:spacing w:line="600" w:lineRule="exact"/>
                              <w:rPr>
                                <w:rFonts w:eastAsia="黑体"/>
                              </w:rPr>
                            </w:pPr>
                            <w:r>
                              <w:rPr>
                                <w:rFonts w:hint="eastAsia" w:ascii="黑体" w:hAnsi="黑体" w:eastAsia="黑体"/>
                                <w:kern w:val="0"/>
                                <w:sz w:val="32"/>
                                <w:szCs w:val="32"/>
                              </w:rPr>
                              <w:t>附件5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pt;margin-top:0.85pt;height:67.5pt;width:75.75pt;z-index:251659264;mso-width-relative:page;mso-height-relative:page;" fillcolor="#FFFFFF [3212]" filled="t" stroked="f" coordsize="21600,21600" o:gfxdata="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qO7t1AAAAAcBAAAPAAAAAAAAAAEAIAAAACIAAABkcnMvZG93bnJldi54&#10;bWxQSwECFAAUAAAACACHTuJApeep8DcCAABTBAAADgAAAAAAAAABACAAAAAjAQAAZHJzL2Uyb0Rv&#10;Yy54bWxQSwUGAAAAAAYABgBZAQAAzAUAAAAA&#10;">
                <v:fill on="t" focussize="0,0"/>
                <v:stroke on="f" miterlimit="8" joinstyle="miter"/>
                <v:imagedata o:title=""/>
                <o:lock v:ext="edit" aspectratio="f"/>
                <v:textbox>
                  <w:txbxContent>
                    <w:p>
                      <w:pPr>
                        <w:spacing w:line="600" w:lineRule="exact"/>
                        <w:rPr>
                          <w:rFonts w:eastAsia="黑体"/>
                        </w:rPr>
                      </w:pPr>
                      <w:r>
                        <w:rPr>
                          <w:rFonts w:hint="eastAsia" w:ascii="黑体" w:hAnsi="黑体" w:eastAsia="黑体"/>
                          <w:kern w:val="0"/>
                          <w:sz w:val="32"/>
                          <w:szCs w:val="32"/>
                        </w:rPr>
                        <w:t>附件5</w:t>
                      </w:r>
                    </w:p>
                  </w:txbxContent>
                </v:textbox>
              </v:shape>
            </w:pict>
          </mc:Fallback>
        </mc:AlternateContent>
      </w:r>
      <w:r>
        <w:rPr>
          <w:rFonts w:ascii="Times New Roman" w:hAnsi="Times New Roman" w:eastAsia="仿宋_GB2312" w:cs="Times New Roman"/>
          <w:sz w:val="32"/>
          <w:szCs w:val="32"/>
        </w:rPr>
        <w:object>
          <v:shape id="_x0000_i1026" o:spt="75" type="#_x0000_t75" style="height:424.5pt;width:681pt;" o:ole="t" filled="f" o:preferrelative="t" stroked="f" coordsize="21600,21600">
            <v:path/>
            <v:fill on="f" focussize="0,0"/>
            <v:stroke on="f" joinstyle="miter"/>
            <v:imagedata r:id="rId10" o:title=""/>
            <o:lock v:ext="edit" aspectratio="t"/>
            <w10:wrap type="none"/>
            <w10:anchorlock/>
          </v:shape>
          <o:OLEObject Type="Embed" ProgID="StaticMetafile" ShapeID="_x0000_i1026" DrawAspect="Content" ObjectID="_1468075726" r:id="rId9">
            <o:LockedField>false</o:LockedField>
          </o:OLEObject>
        </w:object>
      </w:r>
    </w:p>
    <w:sectPr>
      <w:pgSz w:w="16838" w:h="11906" w:orient="landscape"/>
      <w:pgMar w:top="1588"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2000000000000000000"/>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820343"/>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7"/>
    <w:rsid w:val="0000753D"/>
    <w:rsid w:val="00011B4C"/>
    <w:rsid w:val="000136F4"/>
    <w:rsid w:val="00024232"/>
    <w:rsid w:val="000251E2"/>
    <w:rsid w:val="0002617A"/>
    <w:rsid w:val="00026DAC"/>
    <w:rsid w:val="000349DE"/>
    <w:rsid w:val="000444DA"/>
    <w:rsid w:val="00044E2B"/>
    <w:rsid w:val="00046ABE"/>
    <w:rsid w:val="000606F7"/>
    <w:rsid w:val="0006249D"/>
    <w:rsid w:val="00063468"/>
    <w:rsid w:val="00070CD9"/>
    <w:rsid w:val="00071A5D"/>
    <w:rsid w:val="00075ADD"/>
    <w:rsid w:val="00083D57"/>
    <w:rsid w:val="000922FD"/>
    <w:rsid w:val="00095E56"/>
    <w:rsid w:val="000A4105"/>
    <w:rsid w:val="000A7ADC"/>
    <w:rsid w:val="000C457C"/>
    <w:rsid w:val="000C5C09"/>
    <w:rsid w:val="000C5C38"/>
    <w:rsid w:val="000C76A8"/>
    <w:rsid w:val="000E11CB"/>
    <w:rsid w:val="000E3DB1"/>
    <w:rsid w:val="00100DE3"/>
    <w:rsid w:val="00102F89"/>
    <w:rsid w:val="00104360"/>
    <w:rsid w:val="00105F2B"/>
    <w:rsid w:val="00110D7E"/>
    <w:rsid w:val="00112760"/>
    <w:rsid w:val="001208BC"/>
    <w:rsid w:val="00124C68"/>
    <w:rsid w:val="001256A7"/>
    <w:rsid w:val="00125DBD"/>
    <w:rsid w:val="001339AB"/>
    <w:rsid w:val="00136A98"/>
    <w:rsid w:val="001460AB"/>
    <w:rsid w:val="001469F3"/>
    <w:rsid w:val="00147F26"/>
    <w:rsid w:val="00153F4A"/>
    <w:rsid w:val="00156066"/>
    <w:rsid w:val="00162A2D"/>
    <w:rsid w:val="0016736B"/>
    <w:rsid w:val="0017050B"/>
    <w:rsid w:val="00171AEA"/>
    <w:rsid w:val="00173641"/>
    <w:rsid w:val="001867D1"/>
    <w:rsid w:val="00192B0A"/>
    <w:rsid w:val="001A06EB"/>
    <w:rsid w:val="001B0ABB"/>
    <w:rsid w:val="001B5BD0"/>
    <w:rsid w:val="001B7079"/>
    <w:rsid w:val="001B7B50"/>
    <w:rsid w:val="001D3FB8"/>
    <w:rsid w:val="001E29F5"/>
    <w:rsid w:val="001E478B"/>
    <w:rsid w:val="001F1F03"/>
    <w:rsid w:val="001F44D5"/>
    <w:rsid w:val="002146C9"/>
    <w:rsid w:val="00222734"/>
    <w:rsid w:val="00226B8E"/>
    <w:rsid w:val="0023147F"/>
    <w:rsid w:val="0023688C"/>
    <w:rsid w:val="00260552"/>
    <w:rsid w:val="00262D85"/>
    <w:rsid w:val="0026649B"/>
    <w:rsid w:val="002676CF"/>
    <w:rsid w:val="0027038F"/>
    <w:rsid w:val="002773E6"/>
    <w:rsid w:val="002855C7"/>
    <w:rsid w:val="00292DC7"/>
    <w:rsid w:val="002A0A6E"/>
    <w:rsid w:val="002A1D6A"/>
    <w:rsid w:val="002A5A01"/>
    <w:rsid w:val="002B358F"/>
    <w:rsid w:val="002B720F"/>
    <w:rsid w:val="002C22F5"/>
    <w:rsid w:val="002C3977"/>
    <w:rsid w:val="002C4402"/>
    <w:rsid w:val="002D074C"/>
    <w:rsid w:val="002D3894"/>
    <w:rsid w:val="002E5B90"/>
    <w:rsid w:val="002F34DC"/>
    <w:rsid w:val="002F4D53"/>
    <w:rsid w:val="00306197"/>
    <w:rsid w:val="00306BD6"/>
    <w:rsid w:val="00310C65"/>
    <w:rsid w:val="00312449"/>
    <w:rsid w:val="003131ED"/>
    <w:rsid w:val="0031626D"/>
    <w:rsid w:val="00317206"/>
    <w:rsid w:val="00317552"/>
    <w:rsid w:val="003213EF"/>
    <w:rsid w:val="00325E6A"/>
    <w:rsid w:val="003302CB"/>
    <w:rsid w:val="00333724"/>
    <w:rsid w:val="0033481C"/>
    <w:rsid w:val="00335476"/>
    <w:rsid w:val="0033590C"/>
    <w:rsid w:val="00345CF3"/>
    <w:rsid w:val="00347C69"/>
    <w:rsid w:val="003530B0"/>
    <w:rsid w:val="003563AD"/>
    <w:rsid w:val="00357A43"/>
    <w:rsid w:val="00363461"/>
    <w:rsid w:val="00363ECE"/>
    <w:rsid w:val="00365A05"/>
    <w:rsid w:val="00367FFB"/>
    <w:rsid w:val="00384D12"/>
    <w:rsid w:val="003855AC"/>
    <w:rsid w:val="00393970"/>
    <w:rsid w:val="00395A7E"/>
    <w:rsid w:val="003A14EC"/>
    <w:rsid w:val="003A3EEF"/>
    <w:rsid w:val="003B5EE9"/>
    <w:rsid w:val="003C3066"/>
    <w:rsid w:val="003C359F"/>
    <w:rsid w:val="003C778F"/>
    <w:rsid w:val="003D2538"/>
    <w:rsid w:val="003D2C9D"/>
    <w:rsid w:val="003D3C6B"/>
    <w:rsid w:val="003D5BF9"/>
    <w:rsid w:val="003D67B9"/>
    <w:rsid w:val="003D7EF4"/>
    <w:rsid w:val="003E2711"/>
    <w:rsid w:val="003E2FD6"/>
    <w:rsid w:val="003E50CD"/>
    <w:rsid w:val="003F17AA"/>
    <w:rsid w:val="003F7E4F"/>
    <w:rsid w:val="00401925"/>
    <w:rsid w:val="0040461F"/>
    <w:rsid w:val="004046CB"/>
    <w:rsid w:val="00405E53"/>
    <w:rsid w:val="004062F1"/>
    <w:rsid w:val="00406D87"/>
    <w:rsid w:val="00420ED0"/>
    <w:rsid w:val="00422A3D"/>
    <w:rsid w:val="0044116F"/>
    <w:rsid w:val="0044435D"/>
    <w:rsid w:val="004445E3"/>
    <w:rsid w:val="00450373"/>
    <w:rsid w:val="004507A4"/>
    <w:rsid w:val="0045255B"/>
    <w:rsid w:val="00460C46"/>
    <w:rsid w:val="0046655C"/>
    <w:rsid w:val="004700FC"/>
    <w:rsid w:val="00476702"/>
    <w:rsid w:val="00485704"/>
    <w:rsid w:val="00491A53"/>
    <w:rsid w:val="004922E1"/>
    <w:rsid w:val="00492505"/>
    <w:rsid w:val="004956CC"/>
    <w:rsid w:val="004C7A67"/>
    <w:rsid w:val="004D463A"/>
    <w:rsid w:val="004E00A5"/>
    <w:rsid w:val="004E3C10"/>
    <w:rsid w:val="004E6DD8"/>
    <w:rsid w:val="004F1C9C"/>
    <w:rsid w:val="004F2778"/>
    <w:rsid w:val="004F4EF2"/>
    <w:rsid w:val="004F4F73"/>
    <w:rsid w:val="004F72E0"/>
    <w:rsid w:val="005027CD"/>
    <w:rsid w:val="005129F4"/>
    <w:rsid w:val="005151AC"/>
    <w:rsid w:val="0052374A"/>
    <w:rsid w:val="00523F4D"/>
    <w:rsid w:val="00532919"/>
    <w:rsid w:val="005364E9"/>
    <w:rsid w:val="005418AE"/>
    <w:rsid w:val="00543EF9"/>
    <w:rsid w:val="00547539"/>
    <w:rsid w:val="005511C7"/>
    <w:rsid w:val="00552490"/>
    <w:rsid w:val="005528F5"/>
    <w:rsid w:val="0055300E"/>
    <w:rsid w:val="00554F55"/>
    <w:rsid w:val="005722C7"/>
    <w:rsid w:val="00573114"/>
    <w:rsid w:val="005736C6"/>
    <w:rsid w:val="0058388F"/>
    <w:rsid w:val="0058450F"/>
    <w:rsid w:val="00584720"/>
    <w:rsid w:val="00585BA1"/>
    <w:rsid w:val="005938DD"/>
    <w:rsid w:val="005A0224"/>
    <w:rsid w:val="005A1D68"/>
    <w:rsid w:val="005A6D21"/>
    <w:rsid w:val="005B6655"/>
    <w:rsid w:val="005C18CF"/>
    <w:rsid w:val="005C549A"/>
    <w:rsid w:val="005C78C4"/>
    <w:rsid w:val="005D7D0D"/>
    <w:rsid w:val="005E0ED2"/>
    <w:rsid w:val="005E1B68"/>
    <w:rsid w:val="005E2966"/>
    <w:rsid w:val="005E4EBE"/>
    <w:rsid w:val="005F432D"/>
    <w:rsid w:val="005F618D"/>
    <w:rsid w:val="005F75C5"/>
    <w:rsid w:val="00601974"/>
    <w:rsid w:val="006100FB"/>
    <w:rsid w:val="00612316"/>
    <w:rsid w:val="00613913"/>
    <w:rsid w:val="00621F18"/>
    <w:rsid w:val="006256CF"/>
    <w:rsid w:val="0062799B"/>
    <w:rsid w:val="006360DC"/>
    <w:rsid w:val="006362E8"/>
    <w:rsid w:val="00641587"/>
    <w:rsid w:val="00643265"/>
    <w:rsid w:val="006513E1"/>
    <w:rsid w:val="0066328F"/>
    <w:rsid w:val="00665401"/>
    <w:rsid w:val="0067470C"/>
    <w:rsid w:val="00681290"/>
    <w:rsid w:val="00695AC3"/>
    <w:rsid w:val="006A1F09"/>
    <w:rsid w:val="006A6A29"/>
    <w:rsid w:val="006A6D18"/>
    <w:rsid w:val="006B135E"/>
    <w:rsid w:val="006B4DEA"/>
    <w:rsid w:val="006C4FD7"/>
    <w:rsid w:val="006C5DE0"/>
    <w:rsid w:val="006D243C"/>
    <w:rsid w:val="006D24F3"/>
    <w:rsid w:val="006E2C98"/>
    <w:rsid w:val="006E5FEF"/>
    <w:rsid w:val="006F2413"/>
    <w:rsid w:val="00705F54"/>
    <w:rsid w:val="007153C4"/>
    <w:rsid w:val="00715AB3"/>
    <w:rsid w:val="00720C6C"/>
    <w:rsid w:val="0072249C"/>
    <w:rsid w:val="00723257"/>
    <w:rsid w:val="00723348"/>
    <w:rsid w:val="007251CA"/>
    <w:rsid w:val="007255CA"/>
    <w:rsid w:val="0072643F"/>
    <w:rsid w:val="007312B3"/>
    <w:rsid w:val="00731A03"/>
    <w:rsid w:val="00742FD3"/>
    <w:rsid w:val="0074401B"/>
    <w:rsid w:val="00745BA9"/>
    <w:rsid w:val="007638B3"/>
    <w:rsid w:val="007652D5"/>
    <w:rsid w:val="007656C4"/>
    <w:rsid w:val="007675C6"/>
    <w:rsid w:val="00767AC5"/>
    <w:rsid w:val="00774591"/>
    <w:rsid w:val="00783E35"/>
    <w:rsid w:val="0079742A"/>
    <w:rsid w:val="007B03D4"/>
    <w:rsid w:val="007B21D5"/>
    <w:rsid w:val="007B2B47"/>
    <w:rsid w:val="007C0BBD"/>
    <w:rsid w:val="007C0FF4"/>
    <w:rsid w:val="007C2138"/>
    <w:rsid w:val="007C3447"/>
    <w:rsid w:val="007C37CE"/>
    <w:rsid w:val="007D030B"/>
    <w:rsid w:val="007D797D"/>
    <w:rsid w:val="007E083C"/>
    <w:rsid w:val="007E0A1B"/>
    <w:rsid w:val="007E2CE2"/>
    <w:rsid w:val="007E2FEA"/>
    <w:rsid w:val="007E5C35"/>
    <w:rsid w:val="007E7532"/>
    <w:rsid w:val="007F0EB9"/>
    <w:rsid w:val="007F47BD"/>
    <w:rsid w:val="00801459"/>
    <w:rsid w:val="00801B03"/>
    <w:rsid w:val="00802EDB"/>
    <w:rsid w:val="00805727"/>
    <w:rsid w:val="008104DE"/>
    <w:rsid w:val="00812CAB"/>
    <w:rsid w:val="008330B5"/>
    <w:rsid w:val="008337D9"/>
    <w:rsid w:val="00836A73"/>
    <w:rsid w:val="008378F9"/>
    <w:rsid w:val="0084452C"/>
    <w:rsid w:val="00846AE7"/>
    <w:rsid w:val="00867B16"/>
    <w:rsid w:val="00870718"/>
    <w:rsid w:val="00871F9D"/>
    <w:rsid w:val="00872C5D"/>
    <w:rsid w:val="00876158"/>
    <w:rsid w:val="008846E3"/>
    <w:rsid w:val="008933FF"/>
    <w:rsid w:val="00895445"/>
    <w:rsid w:val="008A25A0"/>
    <w:rsid w:val="008A459C"/>
    <w:rsid w:val="008B576D"/>
    <w:rsid w:val="008C22DF"/>
    <w:rsid w:val="008C5AD9"/>
    <w:rsid w:val="008D74C0"/>
    <w:rsid w:val="008E07C6"/>
    <w:rsid w:val="008E0A09"/>
    <w:rsid w:val="008E6ADF"/>
    <w:rsid w:val="008E7831"/>
    <w:rsid w:val="008F065A"/>
    <w:rsid w:val="008F6546"/>
    <w:rsid w:val="008F69E3"/>
    <w:rsid w:val="008F7825"/>
    <w:rsid w:val="00902C4A"/>
    <w:rsid w:val="00903983"/>
    <w:rsid w:val="00907839"/>
    <w:rsid w:val="009104A4"/>
    <w:rsid w:val="00920403"/>
    <w:rsid w:val="0092190A"/>
    <w:rsid w:val="00927E02"/>
    <w:rsid w:val="00940582"/>
    <w:rsid w:val="00943794"/>
    <w:rsid w:val="009451D6"/>
    <w:rsid w:val="00950877"/>
    <w:rsid w:val="00961AF6"/>
    <w:rsid w:val="00967BE8"/>
    <w:rsid w:val="00970DB4"/>
    <w:rsid w:val="00971AE1"/>
    <w:rsid w:val="00973E44"/>
    <w:rsid w:val="00977A9B"/>
    <w:rsid w:val="00986AA2"/>
    <w:rsid w:val="00992D79"/>
    <w:rsid w:val="00996615"/>
    <w:rsid w:val="00996F6C"/>
    <w:rsid w:val="009A0283"/>
    <w:rsid w:val="009A090D"/>
    <w:rsid w:val="009A3D70"/>
    <w:rsid w:val="009A759E"/>
    <w:rsid w:val="009A78C6"/>
    <w:rsid w:val="009B123E"/>
    <w:rsid w:val="009B40DD"/>
    <w:rsid w:val="009B6F2F"/>
    <w:rsid w:val="009C36BB"/>
    <w:rsid w:val="009C3ED3"/>
    <w:rsid w:val="009C594A"/>
    <w:rsid w:val="009D0E0D"/>
    <w:rsid w:val="009D3A77"/>
    <w:rsid w:val="009E13AC"/>
    <w:rsid w:val="009F0C1E"/>
    <w:rsid w:val="009F153E"/>
    <w:rsid w:val="009F5712"/>
    <w:rsid w:val="009F68FB"/>
    <w:rsid w:val="009F6F20"/>
    <w:rsid w:val="00A11E72"/>
    <w:rsid w:val="00A2143D"/>
    <w:rsid w:val="00A31C1D"/>
    <w:rsid w:val="00A3593A"/>
    <w:rsid w:val="00A373CB"/>
    <w:rsid w:val="00A45C72"/>
    <w:rsid w:val="00A60378"/>
    <w:rsid w:val="00A63117"/>
    <w:rsid w:val="00A75AAF"/>
    <w:rsid w:val="00A927B3"/>
    <w:rsid w:val="00A9351C"/>
    <w:rsid w:val="00A96EBD"/>
    <w:rsid w:val="00A973C2"/>
    <w:rsid w:val="00AA0ACA"/>
    <w:rsid w:val="00AA5B3F"/>
    <w:rsid w:val="00AA7FF6"/>
    <w:rsid w:val="00AB6E09"/>
    <w:rsid w:val="00AC3FF8"/>
    <w:rsid w:val="00AC5706"/>
    <w:rsid w:val="00AD25A0"/>
    <w:rsid w:val="00AE5005"/>
    <w:rsid w:val="00AE67F0"/>
    <w:rsid w:val="00AF00B0"/>
    <w:rsid w:val="00AF06FC"/>
    <w:rsid w:val="00AF40FC"/>
    <w:rsid w:val="00AF4441"/>
    <w:rsid w:val="00B02C10"/>
    <w:rsid w:val="00B06432"/>
    <w:rsid w:val="00B107C6"/>
    <w:rsid w:val="00B10CD2"/>
    <w:rsid w:val="00B11F04"/>
    <w:rsid w:val="00B1694B"/>
    <w:rsid w:val="00B216BB"/>
    <w:rsid w:val="00B24359"/>
    <w:rsid w:val="00B247AD"/>
    <w:rsid w:val="00B36655"/>
    <w:rsid w:val="00B409F7"/>
    <w:rsid w:val="00B40BF8"/>
    <w:rsid w:val="00B52715"/>
    <w:rsid w:val="00B564BD"/>
    <w:rsid w:val="00B6259E"/>
    <w:rsid w:val="00B71888"/>
    <w:rsid w:val="00B71A65"/>
    <w:rsid w:val="00B769A6"/>
    <w:rsid w:val="00B828E1"/>
    <w:rsid w:val="00B82DB2"/>
    <w:rsid w:val="00B84D7A"/>
    <w:rsid w:val="00B9130B"/>
    <w:rsid w:val="00BA48E5"/>
    <w:rsid w:val="00BB1622"/>
    <w:rsid w:val="00BC32DC"/>
    <w:rsid w:val="00BC68B3"/>
    <w:rsid w:val="00BD1052"/>
    <w:rsid w:val="00BD13F6"/>
    <w:rsid w:val="00BE259C"/>
    <w:rsid w:val="00BF5318"/>
    <w:rsid w:val="00BF5567"/>
    <w:rsid w:val="00C004FB"/>
    <w:rsid w:val="00C008CA"/>
    <w:rsid w:val="00C0552F"/>
    <w:rsid w:val="00C10010"/>
    <w:rsid w:val="00C11641"/>
    <w:rsid w:val="00C11654"/>
    <w:rsid w:val="00C125EC"/>
    <w:rsid w:val="00C14E3F"/>
    <w:rsid w:val="00C2022E"/>
    <w:rsid w:val="00C24780"/>
    <w:rsid w:val="00C40D70"/>
    <w:rsid w:val="00C47895"/>
    <w:rsid w:val="00C52458"/>
    <w:rsid w:val="00C525E8"/>
    <w:rsid w:val="00C5295E"/>
    <w:rsid w:val="00C52E49"/>
    <w:rsid w:val="00C64B01"/>
    <w:rsid w:val="00C700C2"/>
    <w:rsid w:val="00C75022"/>
    <w:rsid w:val="00C86447"/>
    <w:rsid w:val="00C870ED"/>
    <w:rsid w:val="00CA0C84"/>
    <w:rsid w:val="00CA12F9"/>
    <w:rsid w:val="00CA7325"/>
    <w:rsid w:val="00CA778B"/>
    <w:rsid w:val="00CB09F1"/>
    <w:rsid w:val="00CB3344"/>
    <w:rsid w:val="00CB7AAA"/>
    <w:rsid w:val="00CC13C8"/>
    <w:rsid w:val="00CC67E5"/>
    <w:rsid w:val="00CC6908"/>
    <w:rsid w:val="00CC7D1D"/>
    <w:rsid w:val="00CD3613"/>
    <w:rsid w:val="00CE00C5"/>
    <w:rsid w:val="00CE1BCA"/>
    <w:rsid w:val="00CE597C"/>
    <w:rsid w:val="00CE5B51"/>
    <w:rsid w:val="00CF1229"/>
    <w:rsid w:val="00CF47DA"/>
    <w:rsid w:val="00CF5E10"/>
    <w:rsid w:val="00CF6B89"/>
    <w:rsid w:val="00D01FED"/>
    <w:rsid w:val="00D02FC8"/>
    <w:rsid w:val="00D03A4E"/>
    <w:rsid w:val="00D04163"/>
    <w:rsid w:val="00D05120"/>
    <w:rsid w:val="00D1073A"/>
    <w:rsid w:val="00D14A46"/>
    <w:rsid w:val="00D17FA9"/>
    <w:rsid w:val="00D21088"/>
    <w:rsid w:val="00D22BFA"/>
    <w:rsid w:val="00D230C2"/>
    <w:rsid w:val="00D2684E"/>
    <w:rsid w:val="00D3254B"/>
    <w:rsid w:val="00D35D74"/>
    <w:rsid w:val="00D37D83"/>
    <w:rsid w:val="00D50BE4"/>
    <w:rsid w:val="00D60EA3"/>
    <w:rsid w:val="00D631C8"/>
    <w:rsid w:val="00D64E29"/>
    <w:rsid w:val="00D74D86"/>
    <w:rsid w:val="00D8063A"/>
    <w:rsid w:val="00D82075"/>
    <w:rsid w:val="00D828AD"/>
    <w:rsid w:val="00D8525D"/>
    <w:rsid w:val="00D90AE9"/>
    <w:rsid w:val="00D96DDE"/>
    <w:rsid w:val="00DA37F4"/>
    <w:rsid w:val="00DB3B01"/>
    <w:rsid w:val="00DC6CB2"/>
    <w:rsid w:val="00DD35A7"/>
    <w:rsid w:val="00DE0403"/>
    <w:rsid w:val="00DE3C33"/>
    <w:rsid w:val="00DE6967"/>
    <w:rsid w:val="00E00860"/>
    <w:rsid w:val="00E049D8"/>
    <w:rsid w:val="00E11F71"/>
    <w:rsid w:val="00E1755A"/>
    <w:rsid w:val="00E259E8"/>
    <w:rsid w:val="00E2624E"/>
    <w:rsid w:val="00E26ED3"/>
    <w:rsid w:val="00E362FC"/>
    <w:rsid w:val="00E45C0D"/>
    <w:rsid w:val="00E5023A"/>
    <w:rsid w:val="00E51191"/>
    <w:rsid w:val="00E52A84"/>
    <w:rsid w:val="00E52E72"/>
    <w:rsid w:val="00E54FF5"/>
    <w:rsid w:val="00E65C2B"/>
    <w:rsid w:val="00E71162"/>
    <w:rsid w:val="00E776CE"/>
    <w:rsid w:val="00E81C7A"/>
    <w:rsid w:val="00E81F73"/>
    <w:rsid w:val="00E82CCD"/>
    <w:rsid w:val="00E8340D"/>
    <w:rsid w:val="00E90403"/>
    <w:rsid w:val="00EB1DCF"/>
    <w:rsid w:val="00EB7D77"/>
    <w:rsid w:val="00ED3638"/>
    <w:rsid w:val="00ED6639"/>
    <w:rsid w:val="00EE6429"/>
    <w:rsid w:val="00EF2532"/>
    <w:rsid w:val="00EF37BF"/>
    <w:rsid w:val="00EF44AD"/>
    <w:rsid w:val="00EF5E39"/>
    <w:rsid w:val="00EF6003"/>
    <w:rsid w:val="00EF7DD4"/>
    <w:rsid w:val="00F032DC"/>
    <w:rsid w:val="00F035D4"/>
    <w:rsid w:val="00F0733C"/>
    <w:rsid w:val="00F107E8"/>
    <w:rsid w:val="00F120B5"/>
    <w:rsid w:val="00F134BF"/>
    <w:rsid w:val="00F13949"/>
    <w:rsid w:val="00F16930"/>
    <w:rsid w:val="00F31567"/>
    <w:rsid w:val="00F35E5C"/>
    <w:rsid w:val="00F425B3"/>
    <w:rsid w:val="00F426E2"/>
    <w:rsid w:val="00F44E0F"/>
    <w:rsid w:val="00F557B1"/>
    <w:rsid w:val="00F7565D"/>
    <w:rsid w:val="00F838F9"/>
    <w:rsid w:val="00F859A5"/>
    <w:rsid w:val="00F85B8B"/>
    <w:rsid w:val="00F87109"/>
    <w:rsid w:val="00F92AD1"/>
    <w:rsid w:val="00FA002E"/>
    <w:rsid w:val="00FA2145"/>
    <w:rsid w:val="00FA3B1E"/>
    <w:rsid w:val="00FA74E3"/>
    <w:rsid w:val="00FB5132"/>
    <w:rsid w:val="00FC6927"/>
    <w:rsid w:val="00FC6A30"/>
    <w:rsid w:val="00FD00A7"/>
    <w:rsid w:val="00FD2A54"/>
    <w:rsid w:val="00FD3E51"/>
    <w:rsid w:val="00FE41E9"/>
    <w:rsid w:val="00FE4268"/>
    <w:rsid w:val="00FF3E13"/>
    <w:rsid w:val="00FF7403"/>
    <w:rsid w:val="06240AD5"/>
    <w:rsid w:val="077F54B9"/>
    <w:rsid w:val="08D44872"/>
    <w:rsid w:val="0EF76F90"/>
    <w:rsid w:val="0FA32B9D"/>
    <w:rsid w:val="12624E6E"/>
    <w:rsid w:val="18196E4A"/>
    <w:rsid w:val="1DE14C5A"/>
    <w:rsid w:val="335F3460"/>
    <w:rsid w:val="39EDDBB9"/>
    <w:rsid w:val="508B3265"/>
    <w:rsid w:val="55214B4D"/>
    <w:rsid w:val="5B5F8A54"/>
    <w:rsid w:val="5FBD9992"/>
    <w:rsid w:val="63D8920C"/>
    <w:rsid w:val="6FD74D70"/>
    <w:rsid w:val="713B49D8"/>
    <w:rsid w:val="713F3528"/>
    <w:rsid w:val="71FE38E3"/>
    <w:rsid w:val="74FF4A75"/>
    <w:rsid w:val="75D93D59"/>
    <w:rsid w:val="75DB4740"/>
    <w:rsid w:val="77EF96F4"/>
    <w:rsid w:val="7B95BA5C"/>
    <w:rsid w:val="7E3B66EA"/>
    <w:rsid w:val="7E7B9CF5"/>
    <w:rsid w:val="7FBE9221"/>
    <w:rsid w:val="7FCF594C"/>
    <w:rsid w:val="7FF7DEFF"/>
    <w:rsid w:val="7FFCE68D"/>
    <w:rsid w:val="CFAF1966"/>
    <w:rsid w:val="CFFD8E04"/>
    <w:rsid w:val="DF5D72DB"/>
    <w:rsid w:val="DFFF6B0F"/>
    <w:rsid w:val="EFA76EC9"/>
    <w:rsid w:val="F73B7199"/>
    <w:rsid w:val="FBD9E829"/>
    <w:rsid w:val="FD7610ED"/>
    <w:rsid w:val="FEDF3A17"/>
    <w:rsid w:val="FEF7F0B0"/>
    <w:rsid w:val="FF1F5863"/>
    <w:rsid w:val="FF6E9A30"/>
    <w:rsid w:val="FFFD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0"/>
    <w:pPr>
      <w:snapToGrid w:val="0"/>
      <w:jc w:val="center"/>
      <w:outlineLvl w:val="0"/>
    </w:pPr>
    <w:rPr>
      <w:rFonts w:hint="eastAsia" w:ascii="等线 Light" w:hAnsi="等线 Light" w:eastAsia="方正小标宋_GBK" w:cs="Times New Roman"/>
      <w:bCs/>
      <w:sz w:val="4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2 Char"/>
    <w:basedOn w:val="13"/>
    <w:link w:val="3"/>
    <w:qFormat/>
    <w:uiPriority w:val="9"/>
    <w:rPr>
      <w:rFonts w:ascii="宋体" w:hAnsi="宋体" w:eastAsia="宋体" w:cs="宋体"/>
      <w:b/>
      <w:bCs/>
      <w:kern w:val="0"/>
      <w:sz w:val="36"/>
      <w:szCs w:val="36"/>
    </w:rPr>
  </w:style>
  <w:style w:type="character" w:customStyle="1" w:styleId="17">
    <w:name w:val="标题 3 Char"/>
    <w:basedOn w:val="13"/>
    <w:link w:val="4"/>
    <w:qFormat/>
    <w:uiPriority w:val="9"/>
    <w:rPr>
      <w:rFonts w:ascii="宋体" w:hAnsi="宋体" w:eastAsia="宋体" w:cs="宋体"/>
      <w:b/>
      <w:bCs/>
      <w:kern w:val="0"/>
      <w:sz w:val="27"/>
      <w:szCs w:val="27"/>
    </w:rPr>
  </w:style>
  <w:style w:type="paragraph" w:customStyle="1" w:styleId="18">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Char"/>
    <w:basedOn w:val="13"/>
    <w:link w:val="8"/>
    <w:qFormat/>
    <w:uiPriority w:val="99"/>
    <w:rPr>
      <w:rFonts w:asciiTheme="minorHAnsi" w:hAnsiTheme="minorHAnsi" w:eastAsiaTheme="minorEastAsia" w:cstheme="minorBidi"/>
      <w:kern w:val="2"/>
      <w:sz w:val="18"/>
      <w:szCs w:val="18"/>
    </w:rPr>
  </w:style>
  <w:style w:type="character" w:customStyle="1" w:styleId="20">
    <w:name w:val="页脚 Char"/>
    <w:basedOn w:val="13"/>
    <w:link w:val="7"/>
    <w:qFormat/>
    <w:uiPriority w:val="99"/>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日期 Char"/>
    <w:basedOn w:val="13"/>
    <w:link w:val="5"/>
    <w:semiHidden/>
    <w:qFormat/>
    <w:uiPriority w:val="99"/>
    <w:rPr>
      <w:rFonts w:asciiTheme="minorHAnsi" w:hAnsiTheme="minorHAnsi" w:eastAsiaTheme="minorEastAsia" w:cstheme="minorBidi"/>
      <w:kern w:val="2"/>
      <w:sz w:val="21"/>
      <w:szCs w:val="22"/>
    </w:rPr>
  </w:style>
  <w:style w:type="character" w:customStyle="1" w:styleId="23">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4">
    <w:name w:val="标题 1 Char"/>
    <w:basedOn w:val="13"/>
    <w:link w:val="2"/>
    <w:qFormat/>
    <w:uiPriority w:val="9"/>
    <w:rPr>
      <w:rFonts w:asciiTheme="minorHAnsi" w:hAnsiTheme="minorHAnsi" w:eastAsiaTheme="minorEastAsia" w:cstheme="minorBidi"/>
      <w:b/>
      <w:bCs/>
      <w:kern w:val="44"/>
      <w:sz w:val="44"/>
      <w:szCs w:val="44"/>
    </w:rPr>
  </w:style>
  <w:style w:type="paragraph" w:customStyle="1" w:styleId="25">
    <w:name w:val="Char"/>
    <w:basedOn w:val="1"/>
    <w:qFormat/>
    <w:uiPriority w:val="0"/>
    <w:rPr>
      <w:rFonts w:ascii="宋体" w:hAnsi="宋体" w:eastAsia="宋体" w:cs="Courier New"/>
      <w:sz w:val="32"/>
      <w:szCs w:val="32"/>
    </w:rPr>
  </w:style>
  <w:style w:type="character" w:customStyle="1" w:styleId="26">
    <w:name w:val="标题 Char"/>
    <w:basedOn w:val="13"/>
    <w:link w:val="10"/>
    <w:qFormat/>
    <w:uiPriority w:val="0"/>
    <w:rPr>
      <w:rFonts w:ascii="等线 Light" w:hAnsi="等线 Light" w:eastAsia="方正小标宋_GBK"/>
      <w:bCs/>
      <w:kern w:val="2"/>
      <w:sz w:val="44"/>
      <w:szCs w:val="32"/>
    </w:rPr>
  </w:style>
  <w:style w:type="character" w:customStyle="1" w:styleId="27">
    <w:name w:val="doc_titl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639</Words>
  <Characters>3645</Characters>
  <Lines>30</Lines>
  <Paragraphs>8</Paragraphs>
  <TotalTime>109</TotalTime>
  <ScaleCrop>false</ScaleCrop>
  <LinksUpToDate>false</LinksUpToDate>
  <CharactersWithSpaces>4276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2020-09-09T02:13:00Z</dcterms:created>
  <dc:creator>周涛</dc:creator>
  <cp:lastModifiedBy>尹三...</cp:lastModifiedBy>
  <cp:lastPrinted>2023-07-06T01:36:00Z</cp:lastPrinted>
  <dcterms:modified xsi:type="dcterms:W3CDTF">2023-07-26T07:53:42Z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A56CD24BA57C41EA910C9F33F9002B72_13</vt:lpwstr>
  </property>
</Properties>
</file>